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tabs>
          <w:tab w:val="left" w:pos="433"/>
          <w:tab w:val="center" w:pos="7038"/>
        </w:tabs>
        <w:kinsoku/>
        <w:wordWrap/>
        <w:overflowPunct/>
        <w:topLinePunct w:val="0"/>
        <w:autoSpaceDE/>
        <w:autoSpaceDN/>
        <w:bidi w:val="0"/>
        <w:adjustRightInd/>
        <w:snapToGrid/>
        <w:spacing w:line="640" w:lineRule="exact"/>
        <w:ind w:left="0" w:leftChars="0" w:firstLine="0" w:firstLineChars="0"/>
        <w:jc w:val="left"/>
        <w:textAlignment w:val="auto"/>
        <w:rPr>
          <w:rFonts w:hint="eastAsia" w:ascii="方正小标宋简体" w:hAnsi="方正小标宋简体" w:eastAsia="方正小标宋简体" w:cs="方正小标宋简体"/>
          <w:b w:val="0"/>
          <w:bCs/>
          <w:sz w:val="44"/>
          <w:szCs w:val="44"/>
          <w:lang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2</w:t>
      </w:r>
      <w:r>
        <w:rPr>
          <w:rFonts w:hint="eastAsia" w:ascii="方正小标宋简体" w:hAnsi="方正小标宋简体" w:eastAsia="方正小标宋简体" w:cs="方正小标宋简体"/>
          <w:b w:val="0"/>
          <w:bCs/>
          <w:sz w:val="44"/>
          <w:szCs w:val="44"/>
          <w:lang w:eastAsia="zh-CN"/>
        </w:rPr>
        <w:tab/>
      </w:r>
      <w:r>
        <w:rPr>
          <w:rFonts w:hint="eastAsia" w:ascii="方正小标宋简体" w:hAnsi="方正小标宋简体" w:eastAsia="方正小标宋简体" w:cs="方正小标宋简体"/>
          <w:b w:val="0"/>
          <w:bCs/>
          <w:sz w:val="44"/>
          <w:szCs w:val="44"/>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Word.Document.12" ShapeID="_x0000_i1025" DrawAspect="Content" ObjectID="_1468075725" r:id="rId5">
            <o:LockedField>false</o:LockedField>
          </o:OLEObject>
        </w:object>
      </w: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bookmarkEnd w:id="0"/>
      <w:r>
        <w:rPr>
          <w:rFonts w:hint="eastAsia" w:ascii="方正小标宋简体" w:hAnsi="方正小标宋简体" w:eastAsia="方正小标宋简体" w:cs="方正小标宋简体"/>
          <w:b w:val="0"/>
          <w:bCs/>
          <w:sz w:val="44"/>
          <w:szCs w:val="44"/>
          <w:lang w:eastAsia="zh-CN"/>
        </w:rPr>
        <w:t>整治形式主义为基层减负专项工作机制要点清单</w:t>
      </w:r>
    </w:p>
    <w:tbl>
      <w:tblPr>
        <w:tblStyle w:val="8"/>
        <w:tblW w:w="15471"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168"/>
        <w:gridCol w:w="1885"/>
        <w:gridCol w:w="3825"/>
        <w:gridCol w:w="1672"/>
        <w:gridCol w:w="1103"/>
        <w:gridCol w:w="1072"/>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blHeader/>
        </w:trPr>
        <w:tc>
          <w:tcPr>
            <w:tcW w:w="1350"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序号</w:t>
            </w:r>
          </w:p>
        </w:tc>
        <w:tc>
          <w:tcPr>
            <w:tcW w:w="4168"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val="en-US" w:eastAsia="zh-CN"/>
              </w:rPr>
              <w:t>任务内容</w:t>
            </w:r>
          </w:p>
        </w:tc>
        <w:tc>
          <w:tcPr>
            <w:tcW w:w="1885"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牵头领导</w:t>
            </w:r>
          </w:p>
        </w:tc>
        <w:tc>
          <w:tcPr>
            <w:tcW w:w="3825"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责任科室（单位）</w:t>
            </w:r>
          </w:p>
        </w:tc>
        <w:tc>
          <w:tcPr>
            <w:tcW w:w="1672"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责任人</w:t>
            </w:r>
          </w:p>
        </w:tc>
        <w:tc>
          <w:tcPr>
            <w:tcW w:w="1103"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完成时限</w:t>
            </w:r>
          </w:p>
        </w:tc>
        <w:tc>
          <w:tcPr>
            <w:tcW w:w="1072"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落实情况</w:t>
            </w:r>
          </w:p>
        </w:tc>
        <w:tc>
          <w:tcPr>
            <w:tcW w:w="396"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3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一、筑牢思想政治根基</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1.学习贯彻落实习近平总书记重要指示精神，坚决贯彻落实中央决策部署，教育引导广大党员、干部深刻领会“两个确立”的决定性意义，将整治形式主义为基层减负纳入党史学习教育常态化长效化制度机制。</w:t>
            </w:r>
          </w:p>
        </w:tc>
        <w:tc>
          <w:tcPr>
            <w:tcW w:w="18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罗泽君</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机关、各直属事业单位党支部</w:t>
            </w:r>
          </w:p>
        </w:tc>
        <w:tc>
          <w:tcPr>
            <w:tcW w:w="1672" w:type="dxa"/>
            <w:vAlign w:val="center"/>
          </w:tcPr>
          <w:p>
            <w:pPr>
              <w:widowControl w:val="0"/>
              <w:spacing w:after="0" w:line="30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lang w:val="en-US" w:eastAsia="zh-CN"/>
              </w:rPr>
              <w:t>李槟、</w:t>
            </w:r>
            <w:r>
              <w:rPr>
                <w:rFonts w:hint="eastAsia" w:ascii="仿宋_GB2312" w:hAnsi="仿宋_GB2312" w:eastAsia="仿宋_GB2312" w:cs="仿宋_GB2312"/>
                <w:kern w:val="0"/>
                <w:sz w:val="21"/>
                <w:szCs w:val="21"/>
                <w:lang w:eastAsia="zh-CN"/>
              </w:rPr>
              <w:t>高昇、霍立金、靳玉祥、杨军</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长期坚持</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2.深刻认识当前做好安全生产工作的极端重要性，</w:t>
            </w:r>
            <w:r>
              <w:rPr>
                <w:rFonts w:hint="eastAsia" w:ascii="仿宋_GB2312" w:hAnsi="仿宋_GB2312" w:eastAsia="仿宋_GB2312" w:cs="仿宋_GB2312"/>
                <w:sz w:val="21"/>
                <w:szCs w:val="21"/>
              </w:rPr>
              <w:t>定期组织党委理论学习中心组跟进学习贯彻习近平总书记关于安全生产重要论述，统筹好发展和安全，不断提升安全生产治理能</w:t>
            </w:r>
            <w:r>
              <w:rPr>
                <w:rFonts w:hint="eastAsia" w:ascii="仿宋_GB2312" w:hAnsi="仿宋_GB2312" w:eastAsia="仿宋_GB2312" w:cs="仿宋_GB2312"/>
                <w:sz w:val="21"/>
                <w:szCs w:val="21"/>
                <w:lang w:val="en-US" w:eastAsia="zh-CN"/>
              </w:rPr>
              <w:t>力。</w:t>
            </w:r>
          </w:p>
        </w:tc>
        <w:tc>
          <w:tcPr>
            <w:tcW w:w="18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罗泽君</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政治部</w:t>
            </w:r>
          </w:p>
        </w:tc>
        <w:tc>
          <w:tcPr>
            <w:tcW w:w="1672" w:type="dxa"/>
            <w:vAlign w:val="center"/>
          </w:tcPr>
          <w:p>
            <w:pPr>
              <w:widowControl w:val="0"/>
              <w:spacing w:after="0"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江波、梁栋</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长期坚持</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13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二、持续抓好常规性减负工作</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严格落实《地方党政领导干部安全生产责任制规定》，严格落实“党政同责、一岗双责、齐抓共管、失职追责”，综合运用巡查督查、考核考察、激励惩戒等措施加强对安全生产</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工作的组织领导</w:t>
            </w:r>
            <w:r>
              <w:rPr>
                <w:rFonts w:hint="eastAsia" w:ascii="仿宋_GB2312" w:hAnsi="仿宋_GB2312" w:eastAsia="仿宋_GB2312" w:cs="仿宋_GB2312"/>
                <w:sz w:val="21"/>
                <w:szCs w:val="21"/>
                <w:lang w:eastAsia="zh-CN"/>
              </w:rPr>
              <w:t>。</w:t>
            </w:r>
          </w:p>
        </w:tc>
        <w:tc>
          <w:tcPr>
            <w:tcW w:w="1885" w:type="dxa"/>
            <w:vAlign w:val="center"/>
          </w:tcPr>
          <w:p>
            <w:pPr>
              <w:widowControl w:val="0"/>
              <w:spacing w:after="0" w:line="300" w:lineRule="exact"/>
              <w:jc w:val="both"/>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kern w:val="0"/>
                <w:sz w:val="21"/>
                <w:szCs w:val="21"/>
                <w:lang w:val="en-US" w:eastAsia="zh-CN"/>
              </w:rPr>
              <w:t>高昇、魏学明、白岗、高儒、霍立金、许慧文、刘元、赵龙、王与智</w:t>
            </w:r>
          </w:p>
        </w:tc>
        <w:tc>
          <w:tcPr>
            <w:tcW w:w="3825" w:type="dxa"/>
            <w:vAlign w:val="center"/>
          </w:tcPr>
          <w:p>
            <w:pPr>
              <w:widowControl w:val="0"/>
              <w:spacing w:after="0" w:line="300" w:lineRule="exact"/>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煤矿机电管理科、冶金工贸管理科、非煤矿山安全监督管理科、煤矿安全综合科、市应急管理综合行政执法队、煤矿安全生产技术科、洗储煤场管理科、煤矿安全执法科、危险化学品安全监督管理科</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卢</w:t>
            </w:r>
            <w:r>
              <w:rPr>
                <w:rFonts w:hint="eastAsia" w:ascii="仿宋_GB2312" w:hAnsi="仿宋_GB2312" w:eastAsia="仿宋_GB2312" w:cs="仿宋_GB2312"/>
                <w:kern w:val="0"/>
                <w:sz w:val="21"/>
                <w:szCs w:val="21"/>
                <w:lang w:val="en-US" w:eastAsia="zh-CN"/>
              </w:rPr>
              <w:t>海赟、解跃宇、李进、张青春、刘涛、郭兆明、王忠堂、陈志荣</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rPr>
              <w:t>长期坚持</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val="en-US" w:eastAsia="zh-CN" w:bidi="ar-SA"/>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4.严格控制文件、会议。坚决克服“留痕主义”，严防文山会海反弹回潮，坚持开短会，提高会议实效，避免多头发文、层层开会，始终保持精简态势。</w:t>
            </w:r>
          </w:p>
        </w:tc>
        <w:tc>
          <w:tcPr>
            <w:tcW w:w="1885" w:type="dxa"/>
            <w:vAlign w:val="center"/>
          </w:tcPr>
          <w:p>
            <w:pPr>
              <w:widowControl w:val="0"/>
              <w:spacing w:after="0" w:line="300" w:lineRule="exact"/>
              <w:jc w:val="both"/>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kern w:val="0"/>
                <w:sz w:val="21"/>
                <w:szCs w:val="21"/>
                <w:lang w:val="en-US" w:eastAsia="zh-CN"/>
              </w:rPr>
              <w:t>李槟、 高昇、吕俊、魏学明、白岗、年鹏、王佐洲、高儒、罗泽君、陆日堂、霍立金、许慧文、刘元、赵龙、王与智、靳玉祥、杨军、王雪松</w:t>
            </w:r>
          </w:p>
        </w:tc>
        <w:tc>
          <w:tcPr>
            <w:tcW w:w="3825" w:type="dxa"/>
            <w:vAlign w:val="center"/>
          </w:tcPr>
          <w:p>
            <w:pPr>
              <w:widowControl w:val="0"/>
              <w:spacing w:after="0" w:line="300" w:lineRule="exact"/>
              <w:jc w:val="both"/>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办公室、市防灾减灾中心、煤矿机电管理科、政策法规科、防灾减灾科、冶金工贸管理科、火灾防治和防汛抗旱科、非煤矿山安全监督管理科、应急救援保障科、煤矿安全综合科、政治部、安全生产综合协调科、市应急管理综合行政执法队、煤矿安全生产技术科、洗储煤场管理科、煤矿安全执法科、危险化学品安全监督管理科、市应急指挥中心、市应急救援队、市应急管理宣教中心</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孟志勇、卢</w:t>
            </w:r>
            <w:r>
              <w:rPr>
                <w:rFonts w:hint="eastAsia" w:ascii="仿宋_GB2312" w:hAnsi="仿宋_GB2312" w:eastAsia="仿宋_GB2312" w:cs="仿宋_GB2312"/>
                <w:kern w:val="0"/>
                <w:sz w:val="21"/>
                <w:szCs w:val="21"/>
                <w:lang w:val="en-US" w:eastAsia="zh-CN"/>
              </w:rPr>
              <w:t>海赟、边善峰、杜培仕、解跃宇、路火青、李进、王明辉、张青春、梁栋、江波、林福义、刘  涛、郭兆明、王忠堂、陈志荣</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rPr>
              <w:t>长期坚持</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3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三、着力纠治整顿突出问题</w:t>
            </w:r>
          </w:p>
        </w:tc>
        <w:tc>
          <w:tcPr>
            <w:tcW w:w="4168" w:type="dxa"/>
            <w:vAlign w:val="bottom"/>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突出整治在日常检查中，违反</w:t>
            </w:r>
            <w:r>
              <w:rPr>
                <w:rFonts w:hint="eastAsia" w:ascii="仿宋_GB2312" w:hAnsi="仿宋_GB2312" w:eastAsia="仿宋_GB2312" w:cs="仿宋_GB2312"/>
                <w:sz w:val="21"/>
                <w:szCs w:val="21"/>
              </w:rPr>
              <w:t>公务用车、用餐、差旅住宿</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相关规定，变相转嫁企业</w:t>
            </w:r>
            <w:r>
              <w:rPr>
                <w:rFonts w:hint="eastAsia" w:ascii="仿宋_GB2312" w:hAnsi="仿宋_GB2312" w:eastAsia="仿宋_GB2312" w:cs="仿宋_GB2312"/>
                <w:sz w:val="21"/>
                <w:szCs w:val="21"/>
                <w:lang w:val="en-US" w:eastAsia="zh-CN"/>
              </w:rPr>
              <w:t>，检查频次和人员过多，增加企业负担等问题。</w:t>
            </w:r>
          </w:p>
        </w:tc>
        <w:tc>
          <w:tcPr>
            <w:tcW w:w="1885" w:type="dxa"/>
            <w:vAlign w:val="center"/>
          </w:tcPr>
          <w:p>
            <w:pPr>
              <w:widowControl w:val="0"/>
              <w:spacing w:after="0" w:line="30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白岗、霍立金、靳玉祥、杨军、王雪松</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办公室、市应急管理综合行政执法队、市应急指挥中心、市应急救援队、市应急管理宣教中心</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bidi="ar-SA"/>
              </w:rPr>
              <w:t>孟志勇</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长期坚持</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6.突出整治漠视群众利益，工作方法简单粗暴，态度蛮横，吃拿卡要，慢作为，懒作为，不作为等问题。</w:t>
            </w:r>
          </w:p>
        </w:tc>
        <w:tc>
          <w:tcPr>
            <w:tcW w:w="1885" w:type="dxa"/>
            <w:vAlign w:val="center"/>
          </w:tcPr>
          <w:p>
            <w:pPr>
              <w:widowControl w:val="0"/>
              <w:spacing w:after="0" w:line="30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高昇、 吕俊、 魏学明、白岗、年鹏、王佐洲、高儒、霍立金、许慧文、刘元、赵龙、王与智、靳玉祥、杨军、王雪松</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煤矿机电管理科、政策法规科、防灾减灾科、冶金工贸管理科、火灾防治和防汛抗旱科、非煤矿山安全监督管理科、应急救援保障科、煤矿安全综合科、市应急管理综合行政执法队、煤矿安全生产技术科、洗储煤场管理科、煤矿安全执法科、危险化学品安全监督管理科、市应急指挥中心、市应急救援队、市应急管理宣教中心</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SA"/>
              </w:rPr>
              <w:t>卢</w:t>
            </w:r>
            <w:r>
              <w:rPr>
                <w:rFonts w:hint="eastAsia" w:ascii="仿宋_GB2312" w:hAnsi="仿宋_GB2312" w:eastAsia="仿宋_GB2312" w:cs="仿宋_GB2312"/>
                <w:kern w:val="0"/>
                <w:sz w:val="21"/>
                <w:szCs w:val="21"/>
                <w:lang w:val="en-US" w:eastAsia="zh-CN"/>
              </w:rPr>
              <w:t>海赟、边善峰、杜培仕、解跃宇、路火青、李进、张青春、刘涛、郭兆明、王忠堂、陈志荣</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长期坚持</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kern w:val="0"/>
                <w:sz w:val="21"/>
                <w:szCs w:val="21"/>
                <w:lang w:val="en-US" w:eastAsia="zh-CN"/>
              </w:rPr>
              <w:t>煤矿安全专项整治。持续推进瓦斯、冲击地压、水害等重大灾害治理加强矿山安全源头治理。</w:t>
            </w:r>
          </w:p>
        </w:tc>
        <w:tc>
          <w:tcPr>
            <w:tcW w:w="1885" w:type="dxa"/>
            <w:vAlign w:val="center"/>
          </w:tcPr>
          <w:p>
            <w:pPr>
              <w:widowControl w:val="0"/>
              <w:spacing w:after="0" w:line="300" w:lineRule="exact"/>
              <w:jc w:val="both"/>
              <w:rPr>
                <w:rFonts w:hint="eastAsia" w:ascii="仿宋_GB2312" w:hAnsi="仿宋_GB2312" w:eastAsia="仿宋_GB2312" w:cs="仿宋_GB2312"/>
                <w:kern w:val="0"/>
                <w:sz w:val="21"/>
                <w:szCs w:val="21"/>
                <w:lang w:val="en-US" w:eastAsia="zh-CN"/>
              </w:rPr>
            </w:pPr>
          </w:p>
          <w:p>
            <w:pPr>
              <w:widowControl w:val="0"/>
              <w:spacing w:after="0" w:line="300" w:lineRule="exact"/>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高儒、许慧文 、赵龙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煤矿安全综合科、煤矿安全生产技术科、煤矿安全执法科</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张青春、刘涛、王忠堂</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2022年底</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trPr>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lang w:eastAsia="zh-CN"/>
              </w:rPr>
              <w:t>非煤矿山安全专项整治。严格执行《山西省非煤矿山主要矿种最小开采规模和最低服务年限标准》，推动相互之间影响安全的金属非金属地下矿山以及相互之间安全距离不符合相关规定的露天矿山以市方式进行整合</w:t>
            </w:r>
            <w:r>
              <w:rPr>
                <w:rFonts w:hint="eastAsia" w:ascii="仿宋_GB2312" w:hAnsi="仿宋_GB2312" w:eastAsia="仿宋_GB2312" w:cs="仿宋_GB2312"/>
                <w:sz w:val="21"/>
                <w:szCs w:val="21"/>
              </w:rPr>
              <w:t>。重点整治非煤矿山安全 基础薄弱、信息化建设水平不完善等</w:t>
            </w:r>
            <w:r>
              <w:rPr>
                <w:rFonts w:hint="eastAsia" w:ascii="仿宋_GB2312" w:hAnsi="仿宋_GB2312" w:eastAsia="仿宋_GB2312" w:cs="仿宋_GB2312"/>
                <w:sz w:val="21"/>
                <w:szCs w:val="21"/>
                <w:lang w:eastAsia="zh-CN"/>
              </w:rPr>
              <w:t>问题。</w:t>
            </w:r>
          </w:p>
        </w:tc>
        <w:tc>
          <w:tcPr>
            <w:tcW w:w="1885" w:type="dxa"/>
            <w:vAlign w:val="center"/>
          </w:tcPr>
          <w:p>
            <w:pPr>
              <w:widowControl w:val="0"/>
              <w:spacing w:after="0" w:line="300" w:lineRule="exact"/>
              <w:ind w:firstLine="630" w:firstLineChars="300"/>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白岗</w:t>
            </w:r>
          </w:p>
          <w:p>
            <w:pPr>
              <w:pStyle w:val="2"/>
              <w:widowControl w:val="0"/>
              <w:ind w:firstLine="420" w:firstLineChars="200"/>
              <w:jc w:val="center"/>
              <w:rPr>
                <w:rFonts w:hint="eastAsia" w:ascii="仿宋_GB2312" w:hAnsi="仿宋_GB2312" w:eastAsia="仿宋_GB2312" w:cs="仿宋_GB2312"/>
                <w:sz w:val="21"/>
                <w:szCs w:val="21"/>
                <w:lang w:val="en-US" w:eastAsia="zh-CN"/>
              </w:rPr>
            </w:pP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非煤矿山安全监督管理科</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lang w:val="en-US" w:eastAsia="zh-CN"/>
              </w:rPr>
              <w:t>李进</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2022年底</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trPr>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r>
              <w:rPr>
                <w:rFonts w:hint="eastAsia" w:ascii="仿宋_GB2312" w:hAnsi="仿宋_GB2312" w:eastAsia="仿宋_GB2312" w:cs="仿宋_GB2312"/>
                <w:sz w:val="21"/>
                <w:szCs w:val="21"/>
                <w:lang w:eastAsia="zh-CN"/>
              </w:rPr>
              <w:t>冶金制造安全专项整治</w:t>
            </w:r>
            <w:r>
              <w:rPr>
                <w:rFonts w:hint="eastAsia" w:ascii="仿宋_GB2312" w:hAnsi="仿宋_GB2312" w:eastAsia="仿宋_GB2312" w:cs="仿宋_GB2312"/>
                <w:sz w:val="21"/>
                <w:szCs w:val="21"/>
              </w:rPr>
              <w:t>。作业场所10人及以上涉爆粉尘企业重点 事项整改落实“回头看”执法检查</w:t>
            </w:r>
            <w:r>
              <w:rPr>
                <w:rFonts w:hint="eastAsia" w:ascii="仿宋_GB2312" w:hAnsi="仿宋_GB2312" w:eastAsia="仿宋_GB2312" w:cs="仿宋_GB2312"/>
                <w:sz w:val="21"/>
                <w:szCs w:val="21"/>
                <w:lang w:eastAsia="zh-CN"/>
              </w:rPr>
              <w:t>，对食品加工、蔬菜 腌制、皮革(毛皮、羽 毛)加工，造纸、印染 等轻工重点企业组织 开展有限空间作业专 家“会诊”指导服务。</w:t>
            </w:r>
          </w:p>
        </w:tc>
        <w:tc>
          <w:tcPr>
            <w:tcW w:w="18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魏学明</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冶金工贸管理科</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解跃宇</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2022年底</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1" w:hRule="atLeast"/>
        </w:trPr>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10.</w:t>
            </w:r>
            <w:r>
              <w:rPr>
                <w:rFonts w:hint="eastAsia" w:ascii="仿宋_GB2312" w:hAnsi="仿宋_GB2312" w:eastAsia="仿宋_GB2312" w:cs="仿宋_GB2312"/>
                <w:sz w:val="21"/>
                <w:szCs w:val="21"/>
                <w:lang w:eastAsia="zh-CN"/>
              </w:rPr>
              <w:t>危险化学品专项整治</w:t>
            </w:r>
            <w:r>
              <w:rPr>
                <w:rFonts w:hint="eastAsia" w:ascii="仿宋_GB2312" w:hAnsi="仿宋_GB2312" w:eastAsia="仿宋_GB2312" w:cs="仿宋_GB2312"/>
                <w:sz w:val="21"/>
                <w:szCs w:val="21"/>
              </w:rPr>
              <w:t>。排查危险化学品企业在役装置未经正规设计的是否完成安全设计诊断工作，对装置布局、工艺技术及流程、主要设备和管道、自动控制、公用工 程 等进行设计复核，查找并整改装置设计存在的问题，消除安全隐患</w:t>
            </w:r>
            <w:r>
              <w:rPr>
                <w:rFonts w:hint="eastAsia" w:ascii="仿宋_GB2312" w:hAnsi="仿宋_GB2312" w:eastAsia="仿宋_GB2312" w:cs="仿宋_GB2312"/>
                <w:sz w:val="21"/>
                <w:szCs w:val="21"/>
                <w:lang w:eastAsia="zh-CN"/>
              </w:rPr>
              <w:t>，督促各县（市、区）排查危险化学品企业是否全部按规定配备化工相关专业注册安全工程师，并严格落实特种作业人员先持证后上岗制度。</w:t>
            </w:r>
          </w:p>
        </w:tc>
        <w:tc>
          <w:tcPr>
            <w:tcW w:w="18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王与智</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危险化学品安全监督管理科</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陈志荣</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2022年底</w:t>
            </w: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c>
          <w:tcPr>
            <w:tcW w:w="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p>
        </w:tc>
      </w:tr>
    </w:tbl>
    <w:p>
      <w:pPr>
        <w:pStyle w:val="2"/>
        <w:rPr>
          <w:rFonts w:hint="eastAsia" w:ascii="仿宋_GB2312" w:hAnsi="仿宋_GB2312" w:eastAsia="仿宋_GB2312" w:cs="仿宋_GB2312"/>
          <w:sz w:val="24"/>
          <w:szCs w:val="24"/>
        </w:rPr>
      </w:pPr>
    </w:p>
    <w:sectPr>
      <w:footerReference r:id="rId3" w:type="default"/>
      <w:pgSz w:w="16838" w:h="11906" w:orient="landscape"/>
      <w:pgMar w:top="1800" w:right="1440" w:bottom="1800" w:left="144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创艺简行楷">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73EDE"/>
    <w:rsid w:val="184F62C0"/>
    <w:rsid w:val="1DBF2661"/>
    <w:rsid w:val="24414D31"/>
    <w:rsid w:val="2F8B330F"/>
    <w:rsid w:val="2FDFAFCD"/>
    <w:rsid w:val="2FFBF65B"/>
    <w:rsid w:val="322A2DF3"/>
    <w:rsid w:val="35FF0B31"/>
    <w:rsid w:val="3BBFC403"/>
    <w:rsid w:val="3D446EC0"/>
    <w:rsid w:val="3D712FA9"/>
    <w:rsid w:val="3DEF7375"/>
    <w:rsid w:val="3FBFA8B0"/>
    <w:rsid w:val="3FF77404"/>
    <w:rsid w:val="4FD9CD09"/>
    <w:rsid w:val="4FE1465A"/>
    <w:rsid w:val="51743815"/>
    <w:rsid w:val="519546FA"/>
    <w:rsid w:val="53171A5E"/>
    <w:rsid w:val="561A23F7"/>
    <w:rsid w:val="57B874E1"/>
    <w:rsid w:val="5FF2C603"/>
    <w:rsid w:val="60D11F88"/>
    <w:rsid w:val="67BFE4DD"/>
    <w:rsid w:val="6967E2F1"/>
    <w:rsid w:val="6E6266A3"/>
    <w:rsid w:val="6E7EF0FB"/>
    <w:rsid w:val="7020521C"/>
    <w:rsid w:val="70D2129C"/>
    <w:rsid w:val="780F4D2A"/>
    <w:rsid w:val="79A6A2EB"/>
    <w:rsid w:val="79DFD45C"/>
    <w:rsid w:val="7BDA724F"/>
    <w:rsid w:val="7BF38AFC"/>
    <w:rsid w:val="7D552ADA"/>
    <w:rsid w:val="7DBB0296"/>
    <w:rsid w:val="7F2F0FA4"/>
    <w:rsid w:val="7F36C97D"/>
    <w:rsid w:val="7F421065"/>
    <w:rsid w:val="7FD9C798"/>
    <w:rsid w:val="7FFF03FE"/>
    <w:rsid w:val="8C79DAF6"/>
    <w:rsid w:val="979DC68E"/>
    <w:rsid w:val="A5EDF864"/>
    <w:rsid w:val="AFE46CB8"/>
    <w:rsid w:val="AFF45A47"/>
    <w:rsid w:val="B9FF318B"/>
    <w:rsid w:val="BFDFC74F"/>
    <w:rsid w:val="BFFF5611"/>
    <w:rsid w:val="CF73F023"/>
    <w:rsid w:val="DB5F905A"/>
    <w:rsid w:val="DBFB817A"/>
    <w:rsid w:val="DDF3C639"/>
    <w:rsid w:val="ED35576F"/>
    <w:rsid w:val="EFC8E427"/>
    <w:rsid w:val="F4AD133A"/>
    <w:rsid w:val="F757FCBE"/>
    <w:rsid w:val="F77DE9F6"/>
    <w:rsid w:val="F93F5414"/>
    <w:rsid w:val="FBFD846C"/>
    <w:rsid w:val="FCEE9338"/>
    <w:rsid w:val="FCFF383C"/>
    <w:rsid w:val="FDF91D3C"/>
    <w:rsid w:val="FFBE6EC8"/>
    <w:rsid w:val="FFF5D97F"/>
    <w:rsid w:val="FFFF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正文首行缩进 21"/>
    <w:basedOn w:val="10"/>
    <w:next w:val="5"/>
    <w:qFormat/>
    <w:uiPriority w:val="0"/>
    <w:pPr>
      <w:ind w:left="200" w:leftChars="200" w:firstLine="200" w:firstLineChars="200"/>
    </w:pPr>
    <w:rPr>
      <w:rFonts w:ascii="Calibri" w:hAnsi="Calibri"/>
      <w:szCs w:val="24"/>
    </w:rPr>
  </w:style>
  <w:style w:type="paragraph" w:customStyle="1" w:styleId="10">
    <w:name w:val="正文文本缩进1"/>
    <w:basedOn w:val="1"/>
    <w:qFormat/>
    <w:uiPriority w:val="0"/>
    <w:pPr>
      <w:ind w:left="20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2020-11-04T23:56:00Z</dcterms:created>
  <dc:creator>Administrator</dc:creator>
  <cp:lastModifiedBy>Administrator</cp:lastModifiedBy>
  <dcterms:modified xsi:type="dcterms:W3CDTF">2022-04-29T03:08:55Z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